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Prisoners generally</w:t>
      </w:r>
    </w:p>
    <w:p>
      <w:pPr>
        <w:jc w:val="both"/>
        <w:spacing w:before="100" w:after="0"/>
        <w:ind w:start="360"/>
        <w:ind w:firstLine="360"/>
      </w:pPr>
      <w:r>
        <w:rPr>
          <w:b/>
        </w:rPr>
        <w:t>1</w:t>
        <w:t xml:space="preserve">.  </w:t>
      </w:r>
      <w:r>
        <w:rPr>
          <w:b/>
        </w:rPr>
        <w:t xml:space="preserve">Confinement of prisoners transferred to facility.</w:t>
        <w:t xml:space="preserve"> </w:t>
      </w:r>
      <w:r>
        <w:t xml:space="preserve"> </w:t>
      </w:r>
      <w:r>
        <w:t xml:space="preserve">All prisoners transferred to the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2</w:t>
        <w:t xml:space="preserve">.  </w:t>
      </w:r>
      <w:r>
        <w:rPr>
          <w:b/>
        </w:rPr>
        <w:t xml:space="preserve">Education.</w:t>
        <w:t xml:space="preserve"> </w:t>
      </w:r>
      <w:r>
        <w:t xml:space="preserve"> </w:t>
      </w:r>
      <w:r>
        <w:t xml:space="preserve">The director shall maintain suitable courses for academic and career and technical education of the prisoners. The director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facility on public works with any department, agency or entity of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those rules as the commissioner considers proper to ensure the care and treatment of the prisoners and the safe working conditions of prisoners and departmental employees.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C</w:t>
        <w:t xml:space="preserve">.  </w:t>
      </w:r>
      <w:r>
        <w:rPr/>
      </w:r>
      <w:r>
        <w:t xml:space="preserve">The prisoners employed under this subsection may not be compensated monetarily for work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including assignment with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§4204.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