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Office</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the Commissioner of Corrections, subject to review by the joint standing committee of the Legislature having jurisdiction over corrections matters and to confirmation by the Senate, to serve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 §4 (AMD).]</w:t>
      </w:r>
    </w:p>
    <w:p>
      <w:pPr>
        <w:jc w:val="both"/>
        <w:spacing w:before="100" w:after="100"/>
        <w:ind w:start="360"/>
        <w:ind w:firstLine="360"/>
      </w:pPr>
      <w:r>
        <w:rPr>
          <w:b/>
        </w:rPr>
        <w:t>2</w:t>
        <w:t xml:space="preserve">.  </w:t>
      </w:r>
      <w:r>
        <w:rPr>
          <w:b/>
        </w:rPr>
        <w:t xml:space="preserve">Vacancy.</w:t>
        <w:t xml:space="preserve"> </w:t>
      </w:r>
      <w:r>
        <w:t xml:space="preserve"> </w:t>
      </w:r>
      <w:r>
        <w:t xml:space="preserve">Vacancies in the office of the commissioner shall be filled as follows.</w:t>
      </w:r>
    </w:p>
    <w:p>
      <w:pPr>
        <w:jc w:val="both"/>
        <w:spacing w:before="100" w:after="0"/>
        <w:ind w:start="720"/>
      </w:pPr>
      <w:r>
        <w:rPr/>
        <w:t>A</w:t>
        <w:t xml:space="preserve">.  </w:t>
      </w:r>
      <w:r>
        <w:rPr/>
      </w:r>
      <w:r>
        <w:t xml:space="preserve">Any vacancy in the office of commissioner shall be filled by appointment under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If the office of the commissioner is vacant or if the commissioner is absent or disabled, the associate commissioner shall perform the duties and have the powers provided by law for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Qualifications.</w:t>
        <w:t xml:space="preserve"> </w:t>
      </w:r>
      <w:r>
        <w:t xml:space="preserve"> </w:t>
      </w:r>
      <w:r>
        <w:t xml:space="preserve">To qualify for appointment as commissioner, a person must have training and experience in correctional administration or satisfactory experience in the direction of work of a comparable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§1401.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