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456</w:t>
        <w:t xml:space="preserve">.  </w:t>
      </w:r>
      <w:r>
        <w:rPr>
          <w:b/>
        </w:rPr>
        <w:t xml:space="preserve">Address of buyer</w:t>
      </w:r>
    </w:p>
    <w:p>
      <w:pPr>
        <w:jc w:val="both"/>
        <w:spacing w:before="100" w:after="100"/>
        <w:ind w:start="360"/>
        <w:ind w:firstLine="360"/>
      </w:pPr>
      <w:r>
        <w:rPr/>
      </w:r>
      <w:r>
        <w:rPr/>
      </w:r>
      <w:r>
        <w:t xml:space="preserve">All deeds and other instruments for the conveyance of real property shall contain, in addition to the name of the grantee, his address, including street and number, municipality and state.</w:t>
      </w:r>
      <w:r>
        <w:t xml:space="preserve">  </w:t>
      </w:r>
      <w:r xmlns:wp="http://schemas.openxmlformats.org/drawingml/2010/wordprocessingDrawing" xmlns:w15="http://schemas.microsoft.com/office/word/2012/wordml">
        <w:rPr>
          <w:rFonts w:ascii="Arial" w:hAnsi="Arial" w:cs="Arial"/>
          <w:sz w:val="22"/>
          <w:szCs w:val="22"/>
        </w:rPr>
        <w:t xml:space="preserve">[PL 1971, c. 57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§456. Address of buyer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§456. Address of buyer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§456. ADDRESS OF BUYER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