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2163</w:t>
        <w:t xml:space="preserve">.  </w:t>
      </w:r>
      <w:r>
        <w:rPr>
          <w:b/>
        </w:rPr>
        <w:t xml:space="preserve">Rules for conducting examination</w:t>
      </w:r>
    </w:p>
    <w:p>
      <w:pPr>
        <w:jc w:val="both"/>
        <w:spacing w:before="100" w:after="100"/>
        <w:ind w:start="360"/>
        <w:ind w:firstLine="360"/>
      </w:pPr>
      <w:r>
        <w:rPr/>
      </w:r>
      <w:r>
        <w:rPr/>
      </w:r>
      <w:r>
        <w:t xml:space="preserve">The administrator may adopt rules governing procedures and standards for an examination under </w:t>
      </w:r>
      <w:r>
        <w:t>section 2162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§2163. Rules for conducting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§2163. Rules for conducting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§2163. RULES FOR CONDUCTING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