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Claim of another state to recover property</w:t>
      </w:r>
    </w:p>
    <w:p>
      <w:pPr>
        <w:jc w:val="both"/>
        <w:spacing w:before="100" w:after="100"/>
        <w:ind w:start="360"/>
        <w:ind w:firstLine="360"/>
      </w:pPr>
      <w:r>
        <w:rPr>
          <w:b/>
        </w:rPr>
        <w:t>1</w:t>
        <w:t xml:space="preserve">.  </w:t>
      </w:r>
      <w:r>
        <w:rPr>
          <w:b/>
        </w:rPr>
        <w:t xml:space="preserve">Subject to superior claim of another state.</w:t>
        <w:t xml:space="preserve"> </w:t>
      </w:r>
      <w:r>
        <w:t xml:space="preserve"> </w:t>
      </w:r>
      <w:r>
        <w:t xml:space="preserve">If the administrator knows that property held by the administrator under this Act is subject to a superior claim of another state, the administrator shall:</w:t>
      </w:r>
    </w:p>
    <w:p>
      <w:pPr>
        <w:jc w:val="both"/>
        <w:spacing w:before="100" w:after="0"/>
        <w:ind w:start="720"/>
      </w:pPr>
      <w:r>
        <w:rPr/>
        <w:t>A</w:t>
        <w:t xml:space="preserve">.  </w:t>
      </w:r>
      <w:r>
        <w:rPr/>
      </w:r>
      <w:r>
        <w:t xml:space="preserve">Report and pay or deliver the property to the other state;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Return the property to the holder so that the holder may pay or deliver the property to the other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Agreement to transfer not required.</w:t>
        <w:t xml:space="preserve"> </w:t>
      </w:r>
      <w:r>
        <w:t xml:space="preserve"> </w:t>
      </w:r>
      <w:r>
        <w:t xml:space="preserve">The administrator is not required to enter into an agreement to transfer property to the other state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Claim of another state to recover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Claim of another state to recover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§2151. CLAIM OF ANOTHER STATE TO RECOVER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