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2141</w:t>
        <w:t xml:space="preserve">.  </w:t>
      </w:r>
      <w:r>
        <w:rPr>
          <w:b/>
        </w:rPr>
        <w:t xml:space="preserve">Deposit of funds by administrator</w:t>
      </w:r>
    </w:p>
    <w:p>
      <w:pPr>
        <w:jc w:val="both"/>
        <w:spacing w:before="100" w:after="0"/>
        <w:ind w:start="360"/>
        <w:ind w:firstLine="360"/>
      </w:pPr>
      <w:r>
        <w:rPr>
          <w:b/>
        </w:rPr>
        <w:t>1</w:t>
        <w:t xml:space="preserve">.  </w:t>
      </w:r>
      <w:r>
        <w:rPr>
          <w:b/>
        </w:rPr>
        <w:t xml:space="preserve">Unclaimed Property Fund.</w:t>
        <w:t xml:space="preserve"> </w:t>
      </w:r>
      <w:r>
        <w:t xml:space="preserve"> </w:t>
      </w:r>
      <w:r>
        <w:t xml:space="preserve">The administrator shall deposit in the Unclaimed Property Fund all funds received under this Act, including proceeds from the sale of property under </w:t>
      </w:r>
      <w:r>
        <w:t>subchapter 7</w:t>
      </w:r>
      <w:r>
        <w:t xml:space="preserve">.  The Unclaimed Property Fund is a permanent account and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Payment of claims from Unclaimed Property Fund.</w:t>
        <w:t xml:space="preserve"> </w:t>
      </w:r>
      <w:r>
        <w:t xml:space="preserve"> </w:t>
      </w:r>
      <w:r>
        <w:t xml:space="preserve">The administrator shall make prompt payment of claims the administrator duly allows as provided for in this Act from the Unclaimed Property Fund under </w:t>
      </w:r>
      <w:r>
        <w:t>subsection 1</w:t>
      </w:r>
      <w:r>
        <w:t xml:space="preserve">.  This shall constitute an irrevocable and continuing appropriation of all amounts in the Unclaimed Property Fund necessary to make prompt payment of claims duly allowed by the administrator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§2141. Deposit of funds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§2141. Deposit of funds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§2141. DEPOSIT OF FUNDS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