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2132</w:t>
        <w:t xml:space="preserve">.  </w:t>
      </w:r>
      <w:r>
        <w:rPr>
          <w:b/>
        </w:rPr>
        <w:t xml:space="preserve">Disposal of securities</w:t>
      </w:r>
    </w:p>
    <w:p>
      <w:pPr>
        <w:jc w:val="both"/>
        <w:spacing w:before="100" w:after="0"/>
        <w:ind w:start="360"/>
        <w:ind w:firstLine="360"/>
      </w:pPr>
      <w:r>
        <w:rPr>
          <w:b/>
        </w:rPr>
        <w:t>1</w:t>
        <w:t xml:space="preserve">.  </w:t>
      </w:r>
      <w:r>
        <w:rPr>
          <w:b/>
        </w:rPr>
        <w:t xml:space="preserve">Sell or liquidate security after one year.</w:t>
        <w:t xml:space="preserve"> </w:t>
      </w:r>
      <w:r>
        <w:t xml:space="preserve"> </w:t>
      </w:r>
      <w:r>
        <w:t xml:space="preserve">Except as provided in </w:t>
      </w:r>
      <w:r>
        <w:t>section 2155, subsection 1</w:t>
      </w:r>
      <w:r>
        <w:t xml:space="preserve">, the administrator may not sell or otherwise liquidate a security until one year after the administrator receives the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Price of security.</w:t>
        <w:t xml:space="preserve"> </w:t>
      </w:r>
      <w:r>
        <w:t xml:space="preserve"> </w:t>
      </w:r>
      <w:r>
        <w:t xml:space="preserve">The administrator may not sell a security listed on an established stock exchange for less than the price prevailing on the exchange at the time of sale.  The administrator may sell a security not listed on an established exchange by any commercially reasonable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§2132. Disposal of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§2132. Disposal of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§2132. DISPOSAL OF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