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Cooperation among state officers and agencies to locate apparent owner</w:t>
      </w:r>
    </w:p>
    <w:p>
      <w:pPr>
        <w:jc w:val="both"/>
        <w:spacing w:before="100" w:after="100"/>
        <w:ind w:start="360"/>
        <w:ind w:firstLine="360"/>
      </w:pPr>
      <w:r>
        <w:rPr/>
      </w:r>
      <w:r>
        <w:rPr/>
      </w:r>
      <w:r>
        <w:t xml:space="preserve">Unless prohibited by law of this State other than this 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 or to otherwise assist the administrator in the administration of this Act.  The administrator may also enter into data-sharing agreements to enable other governmental agencies to provide an additional notice to apparent owners of property held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Cooperation among state officers and agencies to locate apparent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Cooperation among state officers and agencies to locate apparent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§2104. COOPERATION AMONG STATE OFFICERS AND AGENCIES TO LOCATE APPARENT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