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1602-103</w:t>
        <w:t xml:space="preserve">.  </w:t>
      </w:r>
      <w:r>
        <w:rPr>
          <w:b/>
        </w:rPr>
        <w:t xml:space="preserve">Construction and validity of declaration and bylaws</w:t>
      </w:r>
    </w:p>
    <w:p>
      <w:pPr>
        <w:jc w:val="both"/>
        <w:spacing w:before="100" w:after="100"/>
        <w:ind w:start="360"/>
        <w:ind w:firstLine="360"/>
      </w:pPr>
      <w:r>
        <w:rPr/>
      </w:r>
      <w:r>
        <w:rPr/>
      </w:r>
      <w:r>
        <w:t xml:space="preserve">(a)  All provisions of the declaration and bylaws are severable.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Neither the rule against perpetuities nor the provisions of </w:t>
      </w:r>
      <w:r>
        <w:t>section 116</w:t>
      </w:r>
      <w:r>
        <w:t xml:space="preserve">, as it or its equivalent may be amended from time to time, may be applied to defeat any provision of the declaration, bylaws or rules and regulations adopted pursuant to </w:t>
      </w:r>
      <w:r>
        <w:t>section 1603‑102</w:t>
      </w:r>
      <w:r>
        <w:t xml:space="preserve">, subsection (a), paragraph (1).</w:t>
      </w:r>
      <w:r>
        <w:t xml:space="preserve">  </w:t>
      </w:r>
      <w:r xmlns:wp="http://schemas.openxmlformats.org/drawingml/2010/wordprocessingDrawing" xmlns:w15="http://schemas.microsoft.com/office/word/2012/wordml">
        <w:rPr>
          <w:rFonts w:ascii="Arial" w:hAnsi="Arial" w:cs="Arial"/>
          <w:sz w:val="22"/>
          <w:szCs w:val="22"/>
        </w:rPr>
        <w:t xml:space="preserve">[PL 2017, c. 402, Pt. B, §3 (AMD); PL 2019, c. 417, Pt. B, §14 (AFF).]</w:t>
      </w:r>
    </w:p>
    <w:p>
      <w:pPr>
        <w:jc w:val="both"/>
        <w:spacing w:before="100" w:after="100"/>
        <w:ind w:start="360"/>
        <w:ind w:firstLine="360"/>
      </w:pPr>
      <w:r>
        <w:rPr/>
      </w:r>
      <w:r>
        <w:rPr/>
      </w:r>
      <w:r>
        <w:t xml:space="preserve">(c)  In the event of a conflict between the provisions of the declaration and the bylaws, the declaration prevails except to the extent the declaration is inconsistent with this Act.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Title to a unit and common elements is not rendered unmarketable or otherwise affected by reason of an insubstantial failure of the declaration to comply with this Act.  Whether a substantial failure impairs marketability is not affected by this Act.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PL 2017, c. 402, Pt. B, §3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§1602-103. Construction and validity of declaration and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§1602-103. Construction and validity of declaration and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§1602-103. CONSTRUCTION AND VALIDITY OF DECLARATION AND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