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1601-108</w:t>
        <w:t xml:space="preserve">.  </w:t>
      </w:r>
      <w:r>
        <w:rPr>
          <w:b/>
        </w:rPr>
        <w:t xml:space="preserve">Supplemental general principles of law applicable</w:t>
      </w:r>
    </w:p>
    <w:p>
      <w:pPr>
        <w:jc w:val="both"/>
        <w:spacing w:before="100" w:after="100"/>
        <w:ind w:start="360"/>
        <w:ind w:firstLine="360"/>
      </w:pPr>
      <w:r>
        <w:rPr/>
      </w:r>
      <w:r>
        <w:rPr/>
      </w:r>
      <w:r>
        <w:t xml:space="preserve">The principles of law and equity, including the law of corporations and unincorporated associations, the law of real property and the law relative to capacity to contract, principal and agent, eminent domain, estoppel, fraud, misrepresentation, duress, coercion, mistake, receivership, substantial performance or other validated or invalidating cause supplement the provisions of this Act, except to the extent inconsistent with this Act.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No consent or joinder of the spouse of a unit owner shall be required for any action of the unit owner required or permitted under this Act, except that in a case of a conveyance or transfer of a unit, the law of Maine relating to the rights of a spouse in real estate shall apply to such conveyance or transfer.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§1601-108. Supplemental general principles of law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§1601-108. Supplemental general principles of law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§1601-108. SUPPLEMENTAL GENERAL PRINCIPLES OF LAW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