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9418</w:t>
        <w:t xml:space="preserve">.  </w:t>
      </w:r>
      <w:r>
        <w:rPr>
          <w:b/>
        </w:rPr>
        <w:t xml:space="preserve">Confidentiality of application and information collected by the commissioner</w:t>
      </w:r>
    </w:p>
    <w:p>
      <w:pPr>
        <w:jc w:val="both"/>
        <w:spacing w:before="100" w:after="100"/>
        <w:ind w:start="360"/>
        <w:ind w:firstLine="360"/>
      </w:pPr>
      <w:r>
        <w:rPr/>
      </w:r>
      <w:r>
        <w:rPr/>
      </w:r>
      <w:r>
        <w:t xml:space="preserve">Notwithstanding </w:t>
      </w:r>
      <w:r>
        <w:t>Title 1, chapter 13, subchapter 1</w:t>
      </w:r>
      <w:r>
        <w:t xml:space="preserve">, all applications for a license to be a contract security company and any documents made a part of the application, refusals and any information of record collected by the commissioner during the process of ascertaining whether an applicant is of good moral character and meets the additional requirements of </w:t>
      </w:r>
      <w:r>
        <w:t>sections 9405</w:t>
      </w:r>
      <w:r>
        <w:t xml:space="preserve"> and </w:t>
      </w:r>
      <w:r>
        <w:t>9411‑A</w:t>
      </w:r>
      <w:r>
        <w:t xml:space="preserve">, and all information of record collected by the commissioner during the process of ascertaining whether a natural person meets the requirements of </w:t>
      </w:r>
      <w:r>
        <w:t>section 9410‑A</w:t>
      </w:r>
      <w:r>
        <w:t xml:space="preserve">, are confidential and may not be made available for public inspection or copying.  The applicant or natural person may waive this confidentiality by written notice to the commissioner.  All proceedings relating to the issuance of a license to be a contract security company are not public proceedings under </w:t>
      </w:r>
      <w:r>
        <w:t>Title 1, chapter 13</w:t>
      </w:r>
      <w:r>
        <w:t xml:space="preserve">, unless otherwise requested by the applicant.</w:t>
      </w:r>
      <w:r>
        <w:t xml:space="preserve">  </w:t>
      </w:r>
      <w:r xmlns:wp="http://schemas.openxmlformats.org/drawingml/2010/wordprocessingDrawing" xmlns:w15="http://schemas.microsoft.com/office/word/2012/wordml">
        <w:rPr>
          <w:rFonts w:ascii="Arial" w:hAnsi="Arial" w:cs="Arial"/>
          <w:sz w:val="22"/>
          <w:szCs w:val="22"/>
        </w:rPr>
        <w:t xml:space="preserve">[PL 2011, c. 662, §20 (AMD).]</w:t>
      </w:r>
    </w:p>
    <w:p>
      <w:pPr>
        <w:jc w:val="both"/>
        <w:spacing w:before="100" w:after="100"/>
        <w:ind w:start="360"/>
        <w:ind w:firstLine="360"/>
      </w:pPr>
      <w:r>
        <w:rPr/>
      </w:r>
      <w:r>
        <w:rPr/>
      </w:r>
      <w:r>
        <w:t xml:space="preserve">The commissioner or his designee shall make a permanent record of each license to be a contract security company in a suitable book or file kept for that purpose. The record shall include a copy of the license and shall be available for public inspection. Upon a specific request, the commissioner or his designee shall provide a list of names and current addresses of security guards employed by licensed contract security companies.</w:t>
      </w:r>
      <w:r>
        <w:t xml:space="preserve">  </w:t>
      </w:r>
      <w:r xmlns:wp="http://schemas.openxmlformats.org/drawingml/2010/wordprocessingDrawing" xmlns:w15="http://schemas.microsoft.com/office/word/2012/wordml">
        <w:rPr>
          <w:rFonts w:ascii="Arial" w:hAnsi="Arial" w:cs="Arial"/>
          <w:sz w:val="22"/>
          <w:szCs w:val="22"/>
        </w:rPr>
        <w:t xml:space="preserve">[PL 1987, c. 170, §19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170, §19 (NEW). PL 2011, c. 662, §20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§9418. Confidentiality of application and information collected by the commissioner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§9418. Confidentiality of application and information collected by the commissioner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§9418. CONFIDENTIALITY OF APPLICATION AND INFORMATION COLLECTED BY THE COMMISSIONER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