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7094</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and judicial branches of state government in each member state shall enforce this compact and take all actions necessary and appropriate to implement the compact. The provisions of the compact and the rules promulgated under the compact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Except as otherwise provided in the compact,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compact affects or limits the selection or propriety of venue in any action against a licensee for professional malpractice, misconduct or any such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Offer remedial training and specific technical assistance regarding the default.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provide a copy of the notice of default under </w:t>
      </w:r>
      <w:r>
        <w:t>paragraph A</w:t>
      </w:r>
      <w:r>
        <w:t xml:space="preserve"> to the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the defaulting state's licensing authority and each of the member states' licensing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Upon the termination of a state's membership from the compact, a state shall immediately provide notice to all licensees within that state of the termination. The state that has terminated its membership shall continue to recognize all licenses granted pursuant to this compact for a minimum of 6 months after the date of notice of termination. A state that has terminated its membership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party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By majority vote as provided by rule, the commission may initiate legal action against a member state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law or the defaulting state's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A person other than a member state may not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§7094.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§7094.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§7094.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