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7084</w:t>
        <w:t xml:space="preserve">.  </w:t>
      </w:r>
      <w:r>
        <w:rPr>
          <w:b/>
        </w:rPr>
        <w:t xml:space="preserve">State participation in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be eligible to participate in the compact, a potential member state must:</w:t>
      </w:r>
    </w:p>
    <w:p>
      <w:pPr>
        <w:jc w:val="both"/>
        <w:spacing w:before="100" w:after="0"/>
        <w:ind w:start="720"/>
      </w:pPr>
      <w:r>
        <w:rPr/>
        <w:t>A</w:t>
        <w:t xml:space="preserve">.  </w:t>
      </w:r>
      <w:r>
        <w:rPr/>
      </w:r>
      <w:r>
        <w:t xml:space="preserve">License and regulate the practice of social work at the clinical, master's or bachelor's category;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Require applicants for licensure to graduate from a program that is:</w:t>
      </w:r>
    </w:p>
    <w:p>
      <w:pPr>
        <w:jc w:val="both"/>
        <w:spacing w:before="100" w:after="0"/>
        <w:ind w:start="1080"/>
      </w:pPr>
      <w:r>
        <w:rPr/>
        <w:t>(</w:t>
        <w:t>1</w:t>
        <w:t xml:space="preserve">)  </w:t>
      </w:r>
      <w:r>
        <w:rPr/>
      </w:r>
      <w:r>
        <w:t xml:space="preserve">Operated by a college or university recognized by the licensing authority; and</w:t>
      </w:r>
    </w:p>
    <w:p>
      <w:pPr>
        <w:jc w:val="both"/>
        <w:spacing w:before="100" w:after="0"/>
        <w:ind w:start="1080"/>
      </w:pPr>
      <w:r>
        <w:rPr/>
        <w:t>(</w:t>
        <w:t>2</w:t>
        <w:t xml:space="preserve">)  </w:t>
      </w:r>
      <w:r>
        <w:rPr/>
      </w:r>
      <w:r>
        <w:t xml:space="preserve">Accredited, or in candidacy by an institution that subsequently becomes accredited, by an accrediting agency recognized by either the Council for Higher Education Accreditation, or its successor organization, or the United States Department of Education and corresponds to the licensure sought as outlined in </w:t>
      </w:r>
      <w:r>
        <w:t>section 7085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Require applicants for clinical licensure to complete a period of supervised practice;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Have a mechanism in place for receiving, investigating and adjudicating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Duties.</w:t>
        <w:t xml:space="preserve"> </w:t>
      </w:r>
      <w:r>
        <w:t xml:space="preserve"> </w:t>
      </w:r>
      <w:r>
        <w:t xml:space="preserve">To maintain membership in the compact, a member state must:</w:t>
      </w:r>
    </w:p>
    <w:p>
      <w:pPr>
        <w:jc w:val="both"/>
        <w:spacing w:before="100" w:after="0"/>
        <w:ind w:start="720"/>
      </w:pPr>
      <w:r>
        <w:rPr/>
        <w:t>A</w:t>
        <w:t xml:space="preserve">.  </w:t>
      </w:r>
      <w:r>
        <w:rPr/>
      </w:r>
      <w:r>
        <w:t xml:space="preserve">Require that applicants for a multistate license pass a qualifying national examination for the corresponding category of multistate license sought as outlined in </w:t>
      </w:r>
      <w:r>
        <w:t>section 7085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Notify the commission, in compliance with the terms of the compact and rules, of any adverse action or the availability of current significant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Implement procedures for considering the criminal history records of applicants for a multistate license, including procedures for the submission of fingerprints or other biometric-based information by applicants for the purpose of obtaining an applicant's criminal history record information from the Federal Bureau of Investigation and the agency responsible for retaining that state's criminal records;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Require an applicant to obtain or retain a license in the home state and meet the home state's qualifications for licensure or renewal of licensure, as well as all other applicable home state 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Authorize a licensee holding a multistate license in any member state to practice in accordance with the terms of the compact and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H</w:t>
        <w:t xml:space="preserve">.  </w:t>
      </w:r>
      <w:r>
        <w:rPr/>
      </w:r>
      <w:r>
        <w:t xml:space="preserve">Designate a delegate to participate in commission meetings.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Issuance of multistate license.</w:t>
        <w:t xml:space="preserve"> </w:t>
      </w:r>
      <w:r>
        <w:t xml:space="preserve"> </w:t>
      </w:r>
      <w:r>
        <w:t xml:space="preserve">A member state meeting the requirements of </w:t>
      </w:r>
      <w:r>
        <w:t>subsections 1</w:t>
      </w:r>
      <w:r>
        <w:t xml:space="preserve"> and </w:t>
      </w:r>
      <w:r>
        <w:t>2</w:t>
      </w:r>
      <w:r>
        <w:t xml:space="preserve"> shall designate the categories of social work licensure that are eligible for issuance of a multistate license for applicants in that member state.  To the extent that a member state does not meet the requirements for participation in the compact with respect to any particular category of social work licensure, that member state may choose to issue a multistate license to applicants that otherwise meet the requirements of </w:t>
      </w:r>
      <w:r>
        <w:t>section 7085</w:t>
      </w:r>
      <w:r>
        <w:t xml:space="preserve"> for issuance of a multistate license in that category of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Fee.</w:t>
        <w:t xml:space="preserve"> </w:t>
      </w:r>
      <w:r>
        <w:t xml:space="preserve"> </w:t>
      </w:r>
      <w:r>
        <w:t xml:space="preserve">A home state may charge a fee for granting a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§7084. State participation in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§7084. State participation in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§7084. STATE PARTICIPATION IN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