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§6 (RPR). PL 1993, c. 600, §A34 (AMD). PL 1999, c. 547, §B78 (AMD). PL 1999, c. 547, §B80 (AFF). PL 2007, c. 402, Pt. E,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