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Confidentiality of data submitted to the administrator</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Financial information not normally available to the public that is submitted in confidence by an individual or organization to comply with licensing, registration or other regulatory functions of the administrator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Aggregate data.</w:t>
        <w:t xml:space="preserve"> </w:t>
      </w:r>
      <w:r>
        <w:t xml:space="preserve"> </w:t>
      </w:r>
      <w:r>
        <w:t xml:space="preserve">Nothing in this section prohibits the administrator from releasing to the public a list of persons licensed under this subchapter or from releasing aggregated financial data on such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§6115. Confidentiality of data submitted to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Confidentiality of data submitted to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§6115. CONFIDENTIALITY OF DATA SUBMITTED TO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