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License qualifications</w:t>
      </w:r>
    </w:p>
    <w:p>
      <w:pPr>
        <w:jc w:val="both"/>
        <w:spacing w:before="100" w:after="0"/>
        <w:ind w:start="360"/>
        <w:ind w:firstLine="360"/>
      </w:pPr>
      <w:r>
        <w:rPr>
          <w:b/>
        </w:rPr>
        <w:t>1</w:t>
        <w:t xml:space="preserve">.  </w:t>
      </w:r>
      <w:r>
        <w:rPr>
          <w:b/>
        </w:rPr>
        <w:t xml:space="preserve">Net worth requirements.</w:t>
        <w:t xml:space="preserve"> </w:t>
      </w:r>
      <w:r>
        <w:t xml:space="preserve"> </w:t>
      </w:r>
      <w:r>
        <w:t xml:space="preserve">A licensee under this subchapter must have at all times a net worth of not less than $100,000, calculated in accordance with generally accepted accounting principles.  Licensees engaging in money transmission at more than one location or through authorized delegates must have an additional net worth of $50,000 per location or agent located in the State, up to a maximum of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Corporate applicants.</w:t>
        <w:t xml:space="preserve"> </w:t>
      </w:r>
      <w:r>
        <w:t xml:space="preserve"> </w:t>
      </w:r>
      <w:r>
        <w:t xml:space="preserve">A corporate applicant, at the time of filing an application for a license under this subchapter and at all times after a license is issued, must be in good standing in the state of its incorporation.  A noncorporate applicant, at the time of filing an application for a license under this subchapter and at all times after a license is issued, must be registered or qualified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§6105.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§6105.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