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6100-R</w:t>
        <w:t xml:space="preserve">.  </w:t>
      </w:r>
      <w:r>
        <w:rPr>
          <w:b/>
        </w:rPr>
        <w:t xml:space="preserve">Net worth</w:t>
      </w:r>
    </w:p>
    <w:p>
      <w:pPr>
        <w:jc w:val="both"/>
        <w:spacing w:before="100" w:after="100"/>
        <w:ind w:start="360"/>
        <w:ind w:firstLine="360"/>
      </w:pPr>
      <w:r>
        <w:rPr/>
      </w:r>
      <w:r>
        <w:rPr/>
      </w:r>
      <w:r>
        <w:t xml:space="preserve">Net worth requirements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Tangible net worth.</w:t>
        <w:t xml:space="preserve"> </w:t>
      </w:r>
      <w:r>
        <w:t xml:space="preserve"> </w:t>
      </w:r>
      <w:r>
        <w:t xml:space="preserve">A licensee under this Act shall maintain at all times a tangible net worth of the greater of $100,000 and 3% of total assets for the first $100,000,000, 2% of additional assets for $100,000,000 to $1,000,000,000 and 0.5% of additional assets for over $1,000,000,000.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Financial statements.</w:t>
        <w:t xml:space="preserve"> </w:t>
      </w:r>
      <w:r>
        <w:t xml:space="preserve"> </w:t>
      </w:r>
      <w:r>
        <w:t xml:space="preserve">Tangible net worth must be demonstrated at initial application by the applicant’s most recent audited or unaudited financial statements pursuant to </w:t>
      </w:r>
      <w:r>
        <w:t>section 6089, subsection 2,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Exemption.</w:t>
        <w:t xml:space="preserve"> </w:t>
      </w:r>
      <w:r>
        <w:t xml:space="preserve"> </w:t>
      </w:r>
      <w:r>
        <w:t xml:space="preserve">Notwithstanding the provisions of this section, the administrator may, for good cause shown, exempt, in whole or in part, from the requirements of this section any applicant or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§6100-R. Net worth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§6100-R. Net worth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§6100-R. NET WORTH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