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6079</w:t>
        <w:t xml:space="preserve">.  </w:t>
      </w:r>
      <w:r>
        <w:rPr>
          <w:b/>
        </w:rPr>
        <w:t xml:space="preserve">Administrative authority</w:t>
      </w:r>
    </w:p>
    <w:p>
      <w:pPr>
        <w:jc w:val="both"/>
        <w:spacing w:before="100" w:after="100"/>
        <w:ind w:start="360"/>
        <w:ind w:firstLine="360"/>
      </w:pPr>
      <w:r>
        <w:rPr/>
      </w:r>
      <w:r>
        <w:rPr/>
      </w:r>
      <w:r>
        <w:t xml:space="preserve">The administrator has the authority to administer, interpret and enforce this Act, to adopt rules implementing this Act and to recover the cost of administering and enforcing this Act by imposing and collecting proportionate and equitable fees associated with applications, examinations, investigations and other actions required to achieve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§6079. Administrative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§6079. Administrative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§6079. ADMINISTRATIVE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