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5502</w:t>
        <w:t xml:space="preserve">.  </w:t>
      </w:r>
      <w:r>
        <w:rPr>
          <w:b/>
        </w:rPr>
        <w:t xml:space="preserve">License required</w:t>
      </w:r>
    </w:p>
    <w:p>
      <w:pPr>
        <w:jc w:val="both"/>
        <w:spacing w:before="100" w:after="100"/>
        <w:ind w:start="360"/>
        <w:ind w:firstLine="360"/>
      </w:pPr>
      <w:r>
        <w:rPr/>
      </w:r>
      <w:r>
        <w:rPr/>
      </w:r>
      <w:r>
        <w:t xml:space="preserve">Except as provided in </w:t>
      </w:r>
      <w:r>
        <w:t>section 5503</w:t>
      </w:r>
      <w:r>
        <w:t xml:space="preserve">, it is unlawful for a person to practice forestry or advertise or offer to practice forestry without a license issued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2001, c. 261,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§5502.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§5502.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§5502.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