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S, §11 (NEW).]</w:t>
      </w:r>
    </w:p>
    <w:p>
      <w:pPr>
        <w:jc w:val="both"/>
        <w:spacing w:before="100" w:after="0"/>
        <w:ind w:start="360"/>
        <w:ind w:firstLine="360"/>
      </w:pPr>
      <w:r>
        <w:rPr>
          <w:b/>
        </w:rPr>
        <w:t>1</w:t>
        <w:t xml:space="preserve">.  </w:t>
      </w:r>
      <w:r>
        <w:rPr>
          <w:b/>
        </w:rPr>
        <w:t xml:space="preserve">Powers of board and District Court Judge concerning 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2</w:t>
        <w:t xml:space="preserve">.  </w:t>
      </w:r>
      <w:r>
        <w:rPr>
          <w:b/>
        </w:rPr>
        <w:t xml:space="preserve">Preferring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§11 (RP).]</w:t>
      </w:r>
    </w:p>
    <w:p>
      <w:pPr>
        <w:jc w:val="both"/>
        <w:spacing w:before="100" w:after="0"/>
        <w:ind w:start="360"/>
        <w:ind w:firstLine="360"/>
      </w:pPr>
      <w:r>
        <w:rPr>
          <w:b/>
        </w:rPr>
        <w:t>3</w:t>
        <w:t xml:space="preserve">.  </w:t>
      </w:r>
      <w:r>
        <w:rPr>
          <w:b/>
        </w:rPr>
        <w:t xml:space="preserve">Time for hearing of 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w:pPr>
        <w:jc w:val="both"/>
        <w:spacing w:before="100" w:after="0"/>
        <w:ind w:start="360"/>
        <w:ind w:firstLine="360"/>
      </w:pPr>
      <w:r>
        <w:rPr>
          <w:b/>
        </w:rPr>
        <w:t>4</w:t>
        <w:t xml:space="preserve">.  </w:t>
      </w:r>
      <w:r>
        <w:rPr>
          <w:b/>
        </w:rPr>
        <w:t xml:space="preserve">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§648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§17 (RPR). PL 1977, c. 694, §§647,648 (AMD). PL 1983, c. 413, §184 (AMD). PL 1999, c. 547, §B72 (AMD). PL 1999, c. 547, §B80 (AFF). PL 2007, c. 402, Pt. S,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