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4870</w:t>
        <w:t xml:space="preserve">.  </w:t>
      </w:r>
      <w:r>
        <w:rPr>
          <w:b/>
        </w:rPr>
        <w:t xml:space="preserve">Enforcement</w:t>
      </w:r>
    </w:p>
    <w:p>
      <w:pPr>
        <w:jc w:val="both"/>
        <w:spacing w:before="100" w:after="100"/>
        <w:ind w:start="360"/>
        <w:ind w:firstLine="360"/>
      </w:pPr>
      <w:r>
        <w:rPr/>
      </w:r>
      <w:r>
        <w:rPr/>
      </w:r>
      <w:r>
        <w:t xml:space="preserve">Any person who practices veterinary medicine without a currently valid license or permit for the performance of relief veterinary service is subject to the provisions of </w:t>
      </w:r>
      <w:r>
        <w:t>Title 10, section 8003‑C</w:t>
      </w:r>
      <w:r>
        <w:t xml:space="preserve">.  A person engaged in the practice of veterinary technology without a valid license is subject to the provisions of </w:t>
      </w:r>
      <w:r>
        <w:t>Title 10, section 8003‑C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209,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477, §4 (NEW). PL 1983, c. 48, §7 (AMD). PL 1993, c. 404, §A14 (AMD). PL 2007, c. 402, Pt. R, §10 (AMD). PL 2015, c. 209,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§4870.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§4870.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§4870.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