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4178</w:t>
        <w:t xml:space="preserve">.  </w:t>
      </w:r>
      <w:r>
        <w:rPr>
          <w:b/>
        </w:rPr>
        <w:t xml:space="preserve">Application</w:t>
      </w:r>
    </w:p>
    <w:p>
      <w:pPr>
        <w:jc w:val="both"/>
        <w:spacing w:before="100" w:after="100"/>
        <w:ind w:start="360"/>
        <w:ind w:firstLine="360"/>
      </w:pPr>
      <w:r>
        <w:rPr/>
      </w:r>
      <w:r>
        <w:rPr/>
      </w:r>
      <w:r>
        <w:t xml:space="preserve">This chapter applies to all operators and operators in responsible charge and any wastewater treatment plant that is used to meet the requirements of a state pollutant discharge elimination system permit or waste discharge license under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