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3821</w:t>
        <w:t xml:space="preserve">.  </w:t>
      </w:r>
      <w:r>
        <w:rPr>
          <w:b/>
        </w:rPr>
        <w:t xml:space="preserve">Membership; terms; vacancies</w:t>
      </w:r>
    </w:p>
    <w:p>
      <w:pPr>
        <w:jc w:val="both"/>
        <w:spacing w:before="100" w:after="100"/>
        <w:ind w:start="360"/>
        <w:ind w:firstLine="360"/>
      </w:pPr>
      <w:r>
        <w:rPr/>
      </w:r>
      <w:r>
        <w:rPr/>
      </w:r>
      <w:r>
        <w:t xml:space="preserve">The State Board of Examiners of Psychologists, as established by </w:t>
      </w:r>
      <w:r>
        <w:t>Title 5, section 12004‑A, subsection 34</w:t>
      </w:r>
      <w:r>
        <w:t xml:space="preserve">, consists of 9 members who are appointed by the Governor to serve a term of 3 years. Two members of the board must be public members as defined in </w:t>
      </w:r>
      <w:r>
        <w:t>Title 5, section 12004‑A</w:t>
      </w:r>
      <w:r>
        <w:t xml:space="preserve">. Seven members of the board must be licensed psychologists or psychological examiners and insofar as possible be representative of the field of psychology.  Appointments of members must comply with </w:t>
      </w:r>
      <w:r>
        <w:t>Title 10, section 8009</w:t>
      </w:r>
      <w:r>
        <w:t xml:space="preserve">.  Before the filling of any vacancies of professional or public members, the Governor may solicit recommendations. A board member may be removed by the Governor for cause.</w:t>
      </w:r>
      <w:r>
        <w:t xml:space="preserve">  </w:t>
      </w:r>
      <w:r xmlns:wp="http://schemas.openxmlformats.org/drawingml/2010/wordprocessingDrawing" xmlns:w15="http://schemas.microsoft.com/office/word/2012/wordml">
        <w:rPr>
          <w:rFonts w:ascii="Arial" w:hAnsi="Arial" w:cs="Arial"/>
          <w:sz w:val="22"/>
          <w:szCs w:val="22"/>
        </w:rPr>
        <w:t xml:space="preserve">[PL 2007, c. 402, Pt. Q,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1975, c. 575, §43 (RPR). PL 1981, c. 501, §§66,67 (AMD). PL 1983, c. 413, §148 (AMD). PL 1983, c. 812, §233 (AMD). PL 1985, c. 481, §A57 (AMD). PL 1989, c. 503, §B142 (AMD). PL 1993, c. 600, §A249 (AMD). PL 2007, c. 402, Pt. Q,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§3821. Membership; terms;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§3821. Membership; terms;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§3821. MEMBERSHIP; TERMS;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