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Mental or physical examination of licensee licensed to practice in Maine</w:t>
      </w:r>
    </w:p>
    <w:p>
      <w:pPr>
        <w:jc w:val="both"/>
        <w:spacing w:before="100" w:after="100"/>
        <w:ind w:start="360"/>
        <w:ind w:firstLine="360"/>
      </w:pPr>
      <w:r>
        <w:rPr/>
      </w:r>
      <w:r>
        <w:rPr/>
      </w:r>
      <w:r>
        <w:t xml:space="preserve">For the purpose of this chapter, an osteopathic physician is, by so practicing, deemed to have given consent to a mental or physical examination when directed in writing by the board and to have waived all objections to the admissibility of the examining physician's testimony or examination on the grounds that it constitutes privileged communication. These examinations must be conducted by a qualified individual from a list of 5 provided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§2593. Mental or physical examination of licensee licensed to practice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Mental or physical examination of licensee licensed to practice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§2593. MENTAL OR PHYSICAL EXAMINATION OF LICENSEE LICENSED TO PRACTICE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