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Succession in practice</w:t>
      </w:r>
    </w:p>
    <w:p>
      <w:pPr>
        <w:jc w:val="both"/>
        <w:spacing w:before="100" w:after="100"/>
        <w:ind w:start="360"/>
        <w:ind w:firstLine="360"/>
      </w:pPr>
      <w:r>
        <w:rPr/>
      </w:r>
      <w:r>
        <w:rPr/>
      </w:r>
      <w:r>
        <w:t xml:space="preserve">An optometrist taking over an established practice shall clearly indicate that the new optometrist is responsible individually for the practice, but the optometrist may use the term: "succeeded by," "successor to" or "succeeding" for a period not exceeding 2 years.</w:t>
      </w:r>
      <w:r>
        <w:t xml:space="preserve">  </w:t>
      </w:r>
      <w:r xmlns:wp="http://schemas.openxmlformats.org/drawingml/2010/wordprocessingDrawing" xmlns:w15="http://schemas.microsoft.com/office/word/2012/wordml">
        <w:rPr>
          <w:rFonts w:ascii="Arial" w:hAnsi="Arial" w:cs="Arial"/>
          <w:sz w:val="22"/>
          <w:szCs w:val="22"/>
        </w:rPr>
        <w:t xml:space="preserve">[PL 1993, c. 600, Pt. A,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§2436. Succession in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Succession in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§2436. SUCCESSION IN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