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Obtaining new home state license by virtue of compact privilege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An occupational therapist or occupational therapy assistant may hold a home state license, which allows for compact privileges in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If an occupational therapist or occupational therapy assistant changes the therapist's or the assistant's primary state of residence by moving between 2 member states, the following requirements apply.</w:t>
      </w:r>
    </w:p>
    <w:p>
      <w:pPr>
        <w:jc w:val="both"/>
        <w:spacing w:before="100" w:after="0"/>
        <w:ind w:start="720"/>
      </w:pPr>
      <w:r>
        <w:rPr/>
        <w:t>A</w:t>
        <w:t xml:space="preserve">.  </w:t>
      </w:r>
      <w:r>
        <w:rPr/>
      </w:r>
      <w:r>
        <w:t xml:space="preserve">The occupational therapist or occupational therapy assistant shall file an application for obtaining a new home state license by virtue of a compact privilege, pay all applicable fees and notify the current and the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Upon receipt of an application for obtaining a new home state license by virtue of compact privilege, the new home state shall verify that the occupational therapist or occupational therapy assistant meets the pertinent criteria outlined in </w:t>
      </w:r>
      <w:r>
        <w:t>section 2290</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the Departments of State, Justice, and Commerce, the Judiciary, and Related Agencies Appropriations Act, 1973, Title II, Public Law 92-544 (1972);</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Submission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former home state shall convert the former home state license into a compact privilege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Notwithstanding any other provision of this compact, if the occupational therapist or occupational therapy assistant cannot meet the criteria in </w:t>
      </w:r>
      <w:r>
        <w:t>section 2290</w:t>
      </w:r>
      <w:r>
        <w:t xml:space="preserve">, the new home state shall apply its requirements for issuing a new single-state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occupational therapist or the occupational therapy assistant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Criteria for single-state license.</w:t>
        <w:t xml:space="preserve"> </w:t>
      </w:r>
      <w:r>
        <w:t xml:space="preserve"> </w:t>
      </w:r>
      <w:r>
        <w:t xml:space="preserve">If an occupational therapist or occupational therapy assistant changes the therapist's or the assistant's primary state of residence by moving from a member state to a nonmember state, or from a nonmember state to a member state, the state criteria apply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Ability to hold single-state license in more than one state.</w:t>
        <w:t xml:space="preserve"> </w:t>
      </w:r>
      <w:r>
        <w:t xml:space="preserve"> </w:t>
      </w:r>
      <w:r>
        <w:t xml:space="preserve">This compact does not interfere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Requirements for single-state license.</w:t>
        <w:t xml:space="preserve"> </w:t>
      </w:r>
      <w:r>
        <w:t xml:space="preserve"> </w:t>
      </w:r>
      <w:r>
        <w:t xml:space="preserve">This compact does not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§2291. OBTAINING NEW HOME STATE LICENSE BY VIRTUE OF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