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Penalties</w:t>
      </w:r>
    </w:p>
    <w:p>
      <w:pPr>
        <w:jc w:val="both"/>
        <w:spacing w:before="100" w:after="100"/>
        <w:ind w:start="360"/>
        <w:ind w:firstLine="360"/>
      </w:pPr>
      <w:r>
        <w:rPr/>
      </w:r>
      <w:r>
        <w:rPr/>
      </w:r>
      <w:r>
        <w:t xml:space="preserve">A person who violates </w:t>
      </w:r>
      <w:r>
        <w:t>section 220, subsection 1</w:t>
      </w:r>
      <w:r>
        <w:t xml:space="preserve"> or </w:t>
      </w:r>
      <w:r>
        <w:t>2</w:t>
      </w:r>
      <w:r>
        <w:t xml:space="preserve"> or </w:t>
      </w:r>
      <w:r>
        <w:t>section 220‑B, subsection 1</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F,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1983, c. 413, §12 (AMD). PL 1999, c. 547, §B78 (AMD). PL 1999, c. 547, §B80 (AFF). PL 2001, c. 421, §B93 (AMD). PL 2001, c. 421, §C1 (AFF). PL 2007, c. 402, Pt. F,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