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2276</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§3 (RP).]</w:t>
      </w:r>
    </w:p>
    <w:p>
      <w:pPr>
        <w:jc w:val="both"/>
        <w:spacing w:before="100" w:after="100"/>
        <w:ind w:start="360"/>
        <w:ind w:firstLine="360"/>
      </w:pPr>
      <w:r>
        <w:rPr>
          <w:b/>
        </w:rPr>
        <w:t>1-A</w:t>
        <w:t xml:space="preserve">.  </w:t>
      </w:r>
      <w:r>
        <w:rPr>
          <w:b/>
        </w:rPr>
        <w:t xml:space="preserve">License required.</w:t>
        <w:t xml:space="preserve"> </w:t>
      </w:r>
      <w:r>
        <w:t xml:space="preserve"> </w:t>
      </w:r>
      <w:r>
        <w:t xml:space="preserve">A person may not practice, or profess to be authorized to practice occupational therapy, as an occupational therapist or occupational therapy assistant in this State or use the words "occupational therapist," "licensed occupational therapist," "occupational therapy assistant" or "licensed occupational therapy assistant" or the letters "O.T.," "O.T.A.," or other words or letters to indicate that the person using the words or letters is a licensed occupational therapist or licensed occupational therapy assistant, or that may misrepresent to the public that the person has received formalized training in the field of occupational therapy, unless that person is licensed in accordance with this chapter.</w:t>
      </w:r>
    </w:p>
    <w:p>
      <w:pPr>
        <w:jc w:val="both"/>
        <w:spacing w:before="100" w:after="0"/>
        <w:ind w:start="360"/>
      </w:pPr>
      <w:r>
        <w:rPr/>
      </w:r>
      <w:r>
        <w:rPr/>
      </w:r>
      <w:r>
        <w:t xml:space="preserve">This subsection is not intended to prohibit occupational therapy students and occupational therapy assistant students completing fieldwork from using the letters "O.T.S." and "O.T.A.S."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§10 (AMD).]</w:t>
      </w:r>
    </w:p>
    <w:p>
      <w:pPr>
        <w:jc w:val="both"/>
        <w:spacing w:before="100" w:after="0"/>
        <w:ind w:start="360"/>
        <w:ind w:firstLine="360"/>
      </w:pPr>
      <w:r>
        <w:rPr>
          <w:b/>
        </w:rPr>
        <w:t>2</w:t>
        <w:t xml:space="preserve">.  </w:t>
      </w:r>
      <w:r>
        <w:rPr>
          <w:b/>
        </w:rPr>
        <w:t xml:space="preserve">Individual license.</w:t>
        <w:t xml:space="preserve"> </w:t>
      </w:r>
      <w:r>
        <w:t xml:space="preserve"> </w:t>
      </w:r>
      <w:r>
        <w:t xml:space="preserve">Only an individual may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w:t>
      </w:r>
    </w:p>
    <w:p>
      <w:pPr>
        <w:jc w:val="both"/>
        <w:spacing w:before="100" w:after="100"/>
        <w:ind w:start="360"/>
        <w:ind w:firstLine="360"/>
      </w:pPr>
      <w:r>
        <w:rPr>
          <w:b/>
        </w:rPr>
        <w:t>3</w:t>
        <w:t xml:space="preserve">.  </w:t>
      </w:r>
      <w:r>
        <w:rPr>
          <w:b/>
        </w:rPr>
        <w:t xml:space="preserve">Unlicensed practice.</w:t>
        <w:t xml:space="preserve"> </w:t>
      </w:r>
      <w:r>
        <w:t xml:space="preserve"> </w:t>
      </w:r>
      <w:r>
        <w:t xml:space="preserve">A person who violates this section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1987, c. 597, §4 (AMD). PL 1997, c. 294, §3 (AMD). PL 1999, c. 386, §I2 (AMD). PL 1999, c. 547, §B78 (AMD). PL 1999, c. 547, §B80 (AFF). PL 2003, c. 452, §R4 (AMD). PL 2003, c. 452, §X2 (AFF). PL 2007, c. 402, Pt. L, §4 (AMD). PL 2019, c. 287,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§2276.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§2276.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§2276.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