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19204</w:t>
        <w:t xml:space="preserve">.  </w:t>
      </w:r>
      <w:r>
        <w:rPr>
          <w:b/>
        </w:rPr>
        <w:t xml:space="preserve">Rulemaking authority</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§19204.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§19204.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§19204.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