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18108</w:t>
        <w:t xml:space="preserve">.  </w:t>
      </w:r>
      <w:r>
        <w:rPr>
          <w:b/>
        </w:rPr>
        <w:t xml:space="preserve">Disclosures; penalties</w:t>
      </w:r>
    </w:p>
    <w:p>
      <w:pPr>
        <w:jc w:val="both"/>
        <w:spacing w:before="100" w:after="100"/>
        <w:ind w:start="360"/>
        <w:ind w:firstLine="360"/>
      </w:pPr>
      <w:r>
        <w:rPr/>
      </w:r>
      <w:r>
        <w:rPr/>
      </w:r>
      <w:r>
        <w:t xml:space="preserve">A person, firm or company that installs a chimney or fireplace for compensation must issue, prior to the installation taking place, a disclosure statement to a consumer that the chimney or fireplace complies with NFPA standards, Number 211.  The disclosure statement must be in a format approved by the board and contain the information the board considers necessary.  Any chimney or fireplace installer who fails to provide the required disclosure statement to a consumer prior to the installation of a chimney or fireplace commits a civil violation for which a fine of not less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2009, c. 344, Pt. C,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C, §3 (NEW).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§18108. Disclosures;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§18108. Disclosures;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§18108. DISCLOSURES;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