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1501-C</w:t>
        <w:t xml:space="preserve">.  </w:t>
      </w:r>
      <w:r>
        <w:rPr>
          <w:b/>
        </w:rPr>
        <w:t xml:space="preserve">Licensing of out-of-state licensees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board may issue a license to an applicant who holds an active and unrestricted license to practice funeral service in another state, the license requirements of which are substantially similar to the license requirements under this chapter and board rules, as long as the licensee has not been subjected to disciplinary action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board shall adopt rules to implement and administer the provisions of this section, including rules that define substantially similar license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§1501-C. Licensing of out-of-state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§1501-C. Licensing of out-of-state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§1501-C. LICENSING OF OUT-OF-STATE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