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14233</w:t>
        <w:t xml:space="preserve">.  </w:t>
      </w:r>
      <w:r>
        <w:rPr>
          <w:b/>
        </w:rPr>
        <w:t xml:space="preserve">Students</w:t>
      </w:r>
    </w:p>
    <w:p>
      <w:pPr>
        <w:jc w:val="both"/>
        <w:spacing w:before="100" w:after="100"/>
        <w:ind w:start="360"/>
        <w:ind w:firstLine="360"/>
      </w:pPr>
      <w:r>
        <w:rPr/>
      </w:r>
      <w:r>
        <w:rPr/>
      </w:r>
      <w:r>
        <w:t xml:space="preserve">Schools licensed by the director shall maintain and submit a roster of student enrollment and attrition in accordance with rules adopted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w:pPr>
        <w:jc w:val="both"/>
        <w:spacing w:before="100" w:after="100"/>
        <w:ind w:start="360"/>
        <w:ind w:firstLine="360"/>
      </w:pPr>
      <w:r>
        <w:rPr/>
      </w:r>
      <w:r>
        <w:rPr/>
      </w:r>
      <w:r>
        <w:t xml:space="preserve">To be eligible for enrollment, the student must be at least 16 years of age.  Schools may accept a student who is 15 years of age at the time of enrollment if the student attains 16 years of age during the course of the study enrollment period.  Evidence of the student's eligibility and enrollment in the school must be maintained by the school and presented to the director or a designee of the director as required by rule and upon request.</w:t>
      </w:r>
      <w:r>
        <w:t xml:space="preserve">  </w:t>
      </w:r>
      <w:r xmlns:wp="http://schemas.openxmlformats.org/drawingml/2010/wordprocessingDrawing" xmlns:w15="http://schemas.microsoft.com/office/word/2012/wordml">
        <w:rPr>
          <w:rFonts w:ascii="Arial" w:hAnsi="Arial" w:cs="Arial"/>
          <w:sz w:val="22"/>
          <w:szCs w:val="22"/>
        </w:rPr>
        <w:t xml:space="preserve">[PL 2019, c. 373, §40 (AMD).]</w:t>
      </w:r>
    </w:p>
    <w:p>
      <w:pPr>
        <w:jc w:val="both"/>
        <w:spacing w:before="100" w:after="100"/>
        <w:ind w:start="360"/>
        <w:ind w:firstLine="360"/>
      </w:pPr>
      <w:r>
        <w:rPr/>
      </w:r>
      <w:r>
        <w:rPr/>
      </w:r>
      <w:r>
        <w:t xml:space="preserve">All training or services rendered to a member of the public by a student must be under the direct supervision of a duly licensed instructor in a licensed school or as otherwise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286, Pt. M,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§39 (AMD). PL 1999, c. 386, §U4 (AMD). PL 2007, c. 402, Pt. HH, §20 (AMD). PL 2009, c. 369, Pt. B, §31 (AMD). PL 2011, c. 286, Pt. M, §27 (AMD). PL 2019, c. 373,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§14233.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§14233.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