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14226-A</w:t>
        <w:t xml:space="preserve">.  </w:t>
      </w:r>
      <w:r>
        <w:rPr>
          <w:b/>
        </w:rPr>
        <w:t xml:space="preserve">Qualifications; hair designer</w:t>
      </w:r>
    </w:p>
    <w:p>
      <w:pPr>
        <w:jc w:val="both"/>
        <w:spacing w:before="100" w:after="100"/>
        <w:ind w:start="360"/>
        <w:ind w:firstLine="360"/>
      </w:pPr>
      <w:r>
        <w:rPr/>
      </w:r>
      <w:r>
        <w:rPr/>
      </w:r>
      <w:r>
        <w:t xml:space="preserve">A person is eligible to obtain a license under this chapter for the practice of hair design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§29 (NEW).]</w:t>
      </w:r>
    </w:p>
    <w:p>
      <w:pPr>
        <w:jc w:val="both"/>
        <w:spacing w:before="100" w:after="0"/>
        <w:ind w:start="360"/>
        <w:ind w:firstLine="360"/>
      </w:pPr>
      <w:r>
        <w:rPr>
          <w:b/>
        </w:rPr>
        <w:t>1</w:t>
        <w:t xml:space="preserve">.  </w:t>
      </w:r>
      <w:r>
        <w:rPr>
          <w:b/>
        </w:rPr>
        <w:t xml:space="preserve">Training.</w:t>
        <w:t xml:space="preserve"> </w:t>
      </w:r>
      <w:r>
        <w:t xml:space="preserve"> </w:t>
      </w:r>
      <w:r>
        <w:t xml:space="preserve">Has satisfactorily completed a course of instruction in the practice of hair design of 1,200 hours in not less than 7 months in a school licensed by the director or has experience in the practice of hair design as a trainee of 2,000 hours distributed over a period of at least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w:pPr>
        <w:jc w:val="both"/>
        <w:spacing w:before="100" w:after="0"/>
        <w:ind w:start="360"/>
        <w:ind w:firstLine="360"/>
      </w:pPr>
      <w:r>
        <w:rPr>
          <w:b/>
        </w:rPr>
        <w:t>2</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§14226-A. Qualifications; hair designer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§14226-A. Qualifications; hair designer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§14226-A. QUALIFICATIONS; HAIR DESIGNER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