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Grave markers</w:t>
      </w:r>
    </w:p>
    <w:p>
      <w:pPr>
        <w:jc w:val="both"/>
        <w:spacing w:before="100" w:after="100"/>
        <w:ind w:start="360"/>
        <w:ind w:firstLine="360"/>
      </w:pPr>
      <w:r>
        <w:rPr/>
      </w:r>
      <w:r>
        <w:rPr/>
      </w:r>
      <w:r>
        <w:t xml:space="preserve">Any funeral establishment or person licensed under this chapter, when selling a grave marker to a consumer before the completion of the funeral of the person whose grave is to be marked, shall adhere to the sale requirements for funeral goods and services set forth in the Federal Trade Commission's Funeral Industry Practices Rule, 16 Code of Federal Regulations, Part 453.  Violation of this section is an unfair trade practice in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§1406. Grave markers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Grave markers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§1406. GRAVE MARKERS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