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14024</w:t>
        <w:t xml:space="preserve">.  </w:t>
      </w:r>
      <w:r>
        <w:rPr>
          <w:b/>
        </w:rPr>
        <w:t xml:space="preserve">Applicants licensed in another jurisdiction; licensure by endorsement</w:t>
      </w:r>
    </w:p>
    <w:p>
      <w:pPr>
        <w:jc w:val="both"/>
        <w:spacing w:before="100" w:after="0"/>
        <w:ind w:start="360"/>
        <w:ind w:firstLine="360"/>
      </w:pPr>
      <w:r>
        <w:rPr>
          <w:b/>
        </w:rPr>
        <w:t>1</w:t>
        <w:t xml:space="preserve">.  </w:t>
      </w:r>
      <w:r>
        <w:rPr>
          <w:b/>
        </w:rPr>
        <w:t xml:space="preserve">Consent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§9 (RP).]</w:t>
      </w:r>
    </w:p>
    <w:p>
      <w:pPr>
        <w:jc w:val="both"/>
        <w:spacing w:before="100" w:after="0"/>
        <w:ind w:start="360"/>
        <w:ind w:firstLine="360"/>
      </w:pPr>
      <w:r>
        <w:rPr>
          <w:b/>
        </w:rPr>
        <w:t>2</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§2 (RP); PL 2013, c. 547, §19 (AFF).]</w:t>
      </w:r>
    </w:p>
    <w:p>
      <w:pPr>
        <w:jc w:val="both"/>
        <w:spacing w:before="100" w:after="100"/>
        <w:ind w:start="360"/>
        <w:ind w:firstLine="360"/>
      </w:pPr>
      <w:r>
        <w:rPr>
          <w:b/>
        </w:rPr>
        <w:t>3</w:t>
        <w:t xml:space="preserve">.  </w:t>
      </w:r>
      <w:r>
        <w:rPr>
          <w:b/>
        </w:rPr>
        <w:t xml:space="preserve">Applicants licensed in another jurisdiction.</w:t>
        <w:t xml:space="preserve"> </w:t>
      </w:r>
      <w:r>
        <w:t xml:space="preserve"> </w:t>
      </w:r>
      <w:r>
        <w:t xml:space="preserve">An applicant who is licensed under the laws of another jurisdiction may be issued a license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C</w:t>
        <w:t xml:space="preserve">.  </w:t>
      </w:r>
      <w:r>
        <w:rPr/>
      </w:r>
      <w:r>
        <w:t xml:space="preserve">The applicant holds a license in good standing from a jurisdiction with requirements for licensure that meet or exceed the license requirements as set forth by this subchapter for that level of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w:pPr>
        <w:jc w:val="both"/>
        <w:spacing w:before="100" w:after="0"/>
        <w:ind w:start="720"/>
      </w:pPr>
      <w:r>
        <w:rPr/>
        <w:t>D</w:t>
        <w:t xml:space="preserve">.  </w:t>
      </w:r>
      <w:r>
        <w:rPr/>
      </w:r>
      <w:r>
        <w:t xml:space="preserve">The appraiser licensing program of the other jurisdiction complies with Title XI of the federal Financial Institutions Reform, Recovery, and Enforcement Act of 1989 as determined by the federal agency responsible for the determination under that Act.</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§3 (AMD); PL 2013, c. 547, §19 (AFF).]</w:t>
      </w:r>
    </w:p>
    <w:p>
      <w:pPr>
        <w:jc w:val="both"/>
        <w:spacing w:before="100" w:after="0"/>
        <w:ind w:start="360"/>
        <w:ind w:firstLine="360"/>
      </w:pPr>
      <w:r>
        <w:rPr>
          <w:b/>
        </w:rPr>
        <w:t>4</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K, §9 (AMD). PL 2013, c. 547, §§2, 3 (AMD). PL 2013, c. 547, §19 (AFF). PL 2021, c. 642, §§42,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§14024.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§14024.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§14024.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