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13846</w:t>
        <w:t xml:space="preserve">.  </w:t>
      </w:r>
      <w:r>
        <w:rPr>
          <w:b/>
        </w:rPr>
        <w:t xml:space="preserve">Rules</w:t>
      </w:r>
    </w:p>
    <w:p>
      <w:pPr>
        <w:jc w:val="both"/>
        <w:spacing w:before="100" w:after="100"/>
        <w:ind w:start="360"/>
        <w:ind w:firstLine="360"/>
      </w:pPr>
      <w:r>
        <w:rPr/>
      </w:r>
      <w:r>
        <w:rPr/>
      </w:r>
      <w:r>
        <w:t xml:space="preserve">The board and the Board of Licensure in Medicine, after consultation with the Department of Health and Human Services, shall adopt rules to implement this subchapter. The rules must include rules establishing record-keeping and documentation procedures and reporting requirements and must allow for electronic filing when possible.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