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13277</w:t>
        <w:t xml:space="preserve">.  </w:t>
      </w:r>
      <w:r>
        <w:rPr>
          <w:b/>
        </w:rPr>
        <w:t xml:space="preserve">Written policy</w:t>
      </w:r>
    </w:p>
    <w:p>
      <w:pPr>
        <w:jc w:val="both"/>
        <w:spacing w:before="100" w:after="100"/>
        <w:ind w:start="360"/>
        <w:ind w:firstLine="360"/>
      </w:pPr>
      <w:r>
        <w:rPr/>
      </w:r>
      <w:r>
        <w:rPr/>
      </w:r>
      <w:r>
        <w:t xml:space="preserve">Every real estate brokerage agency shall adopt a written company policy that identifies and describes the types of real estate brokerage relationships in which the designated broker and affiliated licensees may engage.</w:t>
      </w:r>
      <w:r>
        <w:t xml:space="preserve">  </w:t>
      </w:r>
      <w:r xmlns:wp="http://schemas.openxmlformats.org/drawingml/2010/wordprocessingDrawing" xmlns:w15="http://schemas.microsoft.com/office/word/2012/wordml">
        <w:rPr>
          <w:rFonts w:ascii="Arial" w:hAnsi="Arial" w:cs="Arial"/>
          <w:sz w:val="22"/>
          <w:szCs w:val="22"/>
        </w:rPr>
        <w:t xml:space="preserve">[PL 2005, c. 378, §18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§18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§13277. Written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§13277. Written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§13277. WRITTEN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