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13195</w:t>
        <w:t xml:space="preserve">.  </w:t>
      </w:r>
      <w:r>
        <w:rPr>
          <w:b/>
        </w:rPr>
        <w:t xml:space="preserve">Changes</w:t>
      </w:r>
    </w:p>
    <w:p>
      <w:pPr>
        <w:jc w:val="both"/>
        <w:spacing w:before="100" w:after="100"/>
        <w:ind w:start="360"/>
        <w:ind w:firstLine="360"/>
      </w:pPr>
      <w:r>
        <w:rPr/>
      </w:r>
      <w:r>
        <w:rPr/>
      </w:r>
      <w:r>
        <w:t xml:space="preserve">Any change of address, name or other material change in the conditions or qualifications set forth in the original application, including but not limited to criminal convictions or suspension or revocation of any professional license, must be reported to the director no later than 10 days after the change. Upon application and payment of the fee as set under </w:t>
      </w:r>
      <w:r>
        <w:t>section 13007</w:t>
      </w:r>
      <w:r>
        <w:t xml:space="preserve">, the commission records must be changed and a new license issued for the unexpired term of the current license, if appropriate.</w:t>
      </w:r>
      <w:r>
        <w:t xml:space="preserve">  </w:t>
      </w:r>
      <w:r xmlns:wp="http://schemas.openxmlformats.org/drawingml/2010/wordprocessingDrawing" xmlns:w15="http://schemas.microsoft.com/office/word/2012/wordml">
        <w:rPr>
          <w:rFonts w:ascii="Arial" w:hAnsi="Arial" w:cs="Arial"/>
          <w:sz w:val="22"/>
          <w:szCs w:val="22"/>
        </w:rPr>
        <w:t xml:space="preserve">[PL 2007, c. 402, Pt. BB,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1999, c. 129, §9 (AMD). PL 1999, c. 129, §16 (AFF). PL 2007, c. 402, Pt. BB,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§13195.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§13195.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§13195.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