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13193</w:t>
        <w:t xml:space="preserve">.  </w:t>
      </w:r>
      <w:r>
        <w:rPr>
          <w:b/>
        </w:rPr>
        <w:t xml:space="preserve">Nonresidents</w:t>
      </w:r>
    </w:p>
    <w:p>
      <w:pPr>
        <w:jc w:val="both"/>
        <w:spacing w:before="100" w:after="100"/>
        <w:ind w:start="360"/>
        <w:ind w:firstLine="360"/>
      </w:pPr>
      <w:r>
        <w:rPr/>
      </w:r>
      <w:r>
        <w:rPr/>
      </w:r>
      <w:r>
        <w:t xml:space="preserve">In lieu of education and experience requirements, nonresident original license applicants must hold a similar active license in good standing in another jurisdiction and must appear at such time and place as the director may designate for the purpose of written examination pertaining to Maine real estate laws.</w:t>
      </w:r>
      <w:r>
        <w:t xml:space="preserve">  </w:t>
      </w:r>
      <w:r xmlns:wp="http://schemas.openxmlformats.org/drawingml/2010/wordprocessingDrawing" xmlns:w15="http://schemas.microsoft.com/office/word/2012/wordml">
        <w:rPr>
          <w:rFonts w:ascii="Arial" w:hAnsi="Arial" w:cs="Arial"/>
          <w:sz w:val="22"/>
          <w:szCs w:val="22"/>
        </w:rPr>
        <w:t xml:space="preserve">[PL 2017, c. 210,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2013, c. 217, Pt. K, §7 (AMD). PL 2017, c. 210, Pt. F,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§13193.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§13193.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§13193.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