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TATTOO ARTISTS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125, §23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(NEW).]</w:t>
      </w:r>
    </w:p>
    <w:p>
      <w:pPr>
        <w:jc w:val="both"/>
        <w:spacing w:before="100" w:after="0"/>
        <w:ind w:start="360"/>
        <w:ind w:firstLine="360"/>
      </w:pPr>
      <w:r>
        <w:rPr>
          <w:b/>
        </w:rPr>
        <w:t>2</w:t>
        <w:t xml:space="preserve">.  </w:t>
      </w:r>
      <w:r>
        <w:rPr>
          <w:b/>
        </w:rPr>
        <w:t xml:space="preserve">Tattoo.</w:t>
        <w:t xml:space="preserve"> </w:t>
      </w:r>
      <w:r>
        <w:t xml:space="preserve"> </w:t>
      </w:r>
      <w:r>
        <w:t xml:space="preserve">"Tattoo" means to insert pigment under the skin of a human being by pricking with a needle or otherwise so as to produce an indelible mark or figure visible through the skin.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(RPR). </w:t>
      </w:r>
    </w:p>
    <w:p>
      <w:pPr>
        <w:jc w:val="both"/>
        <w:spacing w:before="100" w:after="100"/>
        <w:ind w:start="1080" w:hanging="720"/>
      </w:pPr>
      <w:r>
        <w:rPr>
          <w:b/>
        </w:rPr>
        <w:t>§</w:t>
        <w:t>4202</w:t>
        <w:t xml:space="preserve">.  </w:t>
      </w:r>
      <w:r>
        <w:rPr>
          <w:b/>
        </w:rPr>
        <w:t xml:space="preserve">Exemptions</w:t>
      </w:r>
    </w:p>
    <w:p>
      <w:pPr>
        <w:jc w:val="both"/>
        <w:spacing w:before="100" w:after="100"/>
        <w:ind w:start="360"/>
        <w:ind w:firstLine="360"/>
      </w:pPr>
      <w:r>
        <w:rPr/>
      </w:r>
      <w:r>
        <w:rPr/>
      </w:r>
      <w:r>
        <w:t xml:space="preserve">This chapter is not intended to apply to any act of a practitioner of the healing arts licensed in the State and performed in the course of his practice.</w:t>
      </w:r>
    </w:p>
    <w:p>
      <w:pPr>
        <w:jc w:val="both"/>
        <w:spacing w:before="100" w:after="100"/>
        <w:ind w:start="1080" w:hanging="720"/>
      </w:pPr>
      <w:r>
        <w:rPr>
          <w:b/>
        </w:rPr>
        <w:t>§</w:t>
        <w:t>4203</w:t>
        <w:t xml:space="preserve">.  </w:t>
      </w:r>
      <w:r>
        <w:rPr>
          <w:b/>
        </w:rPr>
        <w:t xml:space="preserve">Minors</w:t>
      </w:r>
    </w:p>
    <w:p>
      <w:pPr>
        <w:jc w:val="both"/>
        <w:spacing w:before="100" w:after="100"/>
        <w:ind w:start="360"/>
        <w:ind w:firstLine="360"/>
      </w:pPr>
      <w:r>
        <w:rPr/>
      </w:r>
      <w:r>
        <w:rPr/>
      </w:r>
      <w:r>
        <w:t xml:space="preserve">No person shall place a tattoo mark or figure upon a person under the age of 18 years.</w:t>
      </w:r>
      <w:r>
        <w:t xml:space="preserve">  </w:t>
      </w:r>
      <w:r xmlns:wp="http://schemas.openxmlformats.org/drawingml/2010/wordprocessingDrawing" xmlns:w15="http://schemas.microsoft.com/office/word/2012/wordml">
        <w:rPr>
          <w:rFonts w:ascii="Arial" w:hAnsi="Arial" w:cs="Arial"/>
          <w:sz w:val="22"/>
          <w:szCs w:val="22"/>
        </w:rPr>
        <w:t xml:space="preserve">[PL 1975, c. 701,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§92 (AMD). PL 1971, c. 598, §82 (AMD). PL 1975, c. 701, §16 (RPR). </w:t>
      </w:r>
    </w:p>
    <w:p>
      <w:pPr>
        <w:jc w:val="both"/>
        <w:spacing w:before="100" w:after="100"/>
        <w:ind w:start="1080" w:hanging="720"/>
      </w:pPr>
      <w:r>
        <w:rPr>
          <w:b/>
        </w:rPr>
        <w:t>§</w:t>
        <w:t>4204</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required by this chapter, violates the sterilization, sanitation or safety standards adopted by the department under </w:t>
      </w:r>
      <w:r>
        <w:t>section 4251</w:t>
      </w:r>
      <w:r>
        <w:t xml:space="preserve"> or performs tattooing on a minor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§5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§14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of Health and Human Services,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§14 (NEW).]</w:t>
      </w:r>
    </w:p>
    <w:p>
      <w:pPr>
        <w:jc w:val="both"/>
        <w:spacing w:before="100" w:after="100"/>
        <w:ind w:start="360"/>
        <w:ind w:firstLine="360"/>
      </w:pPr>
      <w:r>
        <w:rPr>
          <w:b/>
        </w:rPr>
        <w:t>3</w:t>
        <w:t xml:space="preserve">.  </w:t>
      </w:r>
      <w:r>
        <w:rPr>
          <w:b/>
        </w:rPr>
        <w:t xml:space="preserve">Grounds for refusal, suspension or revocation.</w:t>
        <w:t xml:space="preserve"> </w:t>
      </w:r>
      <w:r>
        <w:t xml:space="preserve"> </w:t>
      </w:r>
      <w:r>
        <w:t xml:space="preserve">The department may revoke, suspend or refuse to issue or renew a license under this chapter or place a licensee on probation if:</w:t>
      </w:r>
    </w:p>
    <w:p>
      <w:pPr>
        <w:jc w:val="both"/>
        <w:spacing w:before="100" w:after="0"/>
        <w:ind w:start="720"/>
      </w:pPr>
      <w:r>
        <w:rPr/>
        <w:t>A</w:t>
        <w:t xml:space="preserve">.  </w:t>
      </w:r>
      <w:r>
        <w:rPr/>
      </w:r>
      <w:r>
        <w:t xml:space="preserve">The applicant or licensee has been convicted of a crime related to the practice of tattooing;</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B</w:t>
        <w:t xml:space="preserve">.  </w:t>
      </w:r>
      <w:r>
        <w:rPr/>
      </w:r>
      <w:r>
        <w:t xml:space="preserve">The applicant or licensee has engaged in any deception or misrepresentation to the department or the public in applying for a license or license renewal under this chapter or in the advertising or practice of tattooing;</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C</w:t>
        <w:t xml:space="preserve">.  </w:t>
      </w:r>
      <w:r>
        <w:rPr/>
      </w:r>
      <w:r>
        <w:t xml:space="preserve">The applicant or licensee has demonstrated negligence or incompetence or has endangered the public in the practice of tattooing; or</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D</w:t>
        <w:t xml:space="preserve">.  </w:t>
      </w:r>
      <w:r>
        <w:rPr/>
      </w:r>
      <w:r>
        <w:t xml:space="preserve">The applicant or licensee has violated a rule adopted by the department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§24 (NEW).]</w:t>
      </w:r>
    </w:p>
    <w:p>
      <w:pPr>
        <w:jc w:val="both"/>
        <w:spacing w:before="100" w:after="0"/>
        <w:ind w:start="360"/>
        <w:ind w:firstLine="360"/>
      </w:pPr>
      <w:r>
        <w:rPr>
          <w:b/>
        </w:rPr>
        <w:t>4</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§14 (RPR). PL 2021, c. 125, §24 (AMD). PL 2023, c. 113, §§5, 6 (AMD). </w:t>
      </w:r>
    </w:p>
    <w:p>
      <w:pPr>
        <w:jc w:val="both"/>
        <w:spacing w:before="100" w:after="100"/>
        <w:ind w:start="1080" w:hanging="720"/>
      </w:pPr>
      <w:r>
        <w:rPr>
          <w:b/>
        </w:rPr>
        <w:t>§</w:t>
        <w:t>4205</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§25 (NEW). </w:t>
      </w:r>
    </w:p>
    <w:p>
      <w:pPr>
        <w:jc w:val="center"/>
        <w:ind w:start="360"/>
        <w:spacing w:before="300" w:after="300"/>
      </w:pPr>
      <w:r>
        <w:rPr>
          <w:b/>
        </w:rPr>
        <w:t>SUBCHAPTER</w:t>
        <w:t xml:space="preserve"> </w:t>
        <w:t>2</w:t>
      </w:r>
    </w:p>
    <w:p>
      <w:pPr>
        <w:jc w:val="center"/>
        <w:ind w:start="360"/>
        <w:spacing w:before="300" w:after="300"/>
      </w:pPr>
      <w:r>
        <w:rPr>
          <w:b/>
        </w:rPr>
        <w:t xml:space="preserve">DEPARTMENT OF HUMAN SERVICES</w:t>
      </w:r>
    </w:p>
    <w:p>
      <w:pPr>
        <w:jc w:val="both"/>
        <w:spacing w:before="100" w:after="100"/>
        <w:ind w:start="1080" w:hanging="720"/>
      </w:pPr>
      <w:r>
        <w:rPr>
          <w:b/>
        </w:rPr>
        <w:t>§</w:t>
        <w:t>4251</w:t>
        <w:t xml:space="preserve">.  </w:t>
      </w:r>
      <w:r>
        <w:rPr>
          <w:b/>
        </w:rPr>
        <w:t xml:space="preserve">Rules and regulations</w:t>
      </w:r>
    </w:p>
    <w:p>
      <w:pPr>
        <w:jc w:val="both"/>
        <w:spacing w:before="100" w:after="100"/>
        <w:ind w:start="360"/>
        <w:ind w:firstLine="360"/>
      </w:pPr>
      <w:r>
        <w:rPr/>
      </w:r>
      <w:r>
        <w:rPr/>
      </w:r>
      <w:r>
        <w:t xml:space="preserve">The Department of Health and Human Services is authorized and empowered to make necessary rules and regulations governing the application of tattoos upon the bodies of human beings.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4252</w:t>
        <w:t xml:space="preserve">.  </w:t>
      </w:r>
      <w:r>
        <w:rPr>
          <w:b/>
        </w:rPr>
        <w:t xml:space="preserve">Issuance of licenses</w:t>
      </w:r>
    </w:p>
    <w:p>
      <w:pPr>
        <w:jc w:val="both"/>
        <w:spacing w:before="100" w:after="100"/>
        <w:ind w:start="360"/>
        <w:ind w:firstLine="360"/>
      </w:pPr>
      <w:r>
        <w:rPr/>
      </w:r>
      <w:r>
        <w:rPr/>
      </w:r>
      <w:r>
        <w:t xml:space="preserve">The Department of Health and Human Services may license persons to practice the art of tattooing. Such licenses are issued for a term of one year and may be renewed annually.  The fee for an initial license or a renewal license may not exceed $250.  All fees collected by the department pursuant to this section must be deposited in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2013, c. 264, §15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under this section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PL 2009, c. 589, §11 (AMD). PL 2013, c. 264, §15 (AMD). PL 2021, c. 125, §26 (AMD). </w:t>
      </w:r>
    </w:p>
    <w:p>
      <w:pPr>
        <w:jc w:val="center"/>
        <w:ind w:start="360"/>
        <w:spacing w:before="300" w:after="300"/>
      </w:pPr>
      <w:r>
        <w:rPr>
          <w:b/>
        </w:rPr>
        <w:t>SUBCHAPTER</w:t>
        <w:t xml:space="preserve"> </w:t>
        <w:t>3</w:t>
      </w:r>
    </w:p>
    <w:p>
      <w:pPr>
        <w:jc w:val="center"/>
        <w:ind w:start="360"/>
        <w:spacing w:before="300" w:after="300"/>
      </w:pPr>
      <w:r>
        <w:rPr>
          <w:b/>
        </w:rPr>
        <w:t xml:space="preserve">LICENSES</w:t>
      </w:r>
    </w:p>
    <w:p>
      <w:pPr>
        <w:jc w:val="both"/>
        <w:spacing w:before="100" w:after="100"/>
        <w:ind w:start="1080" w:hanging="720"/>
      </w:pPr>
      <w:r>
        <w:rPr>
          <w:b/>
        </w:rPr>
        <w:t>§</w:t>
        <w:t>4301</w:t>
        <w:t xml:space="preserve">.  </w:t>
      </w:r>
      <w:r>
        <w:rPr>
          <w:b/>
        </w:rPr>
        <w:t xml:space="preserve">License required</w:t>
      </w:r>
    </w:p>
    <w:p>
      <w:pPr>
        <w:jc w:val="both"/>
        <w:spacing w:before="100" w:after="100"/>
        <w:ind w:start="360"/>
        <w:ind w:firstLine="360"/>
      </w:pPr>
      <w:r>
        <w:rPr/>
      </w:r>
      <w:r>
        <w:rPr/>
      </w:r>
      <w:r>
        <w:t xml:space="preserve">No person shall place a tattoo upon the body of another human being without first obtaining a license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w:pPr>
        <w:jc w:val="both"/>
        <w:spacing w:before="100" w:after="0"/>
        <w:ind w:start="360"/>
        <w:ind w:firstLine="360"/>
      </w:pPr>
      <w:r>
        <w:rPr>
          <w:b/>
        </w:rPr>
        <w:t>1</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§27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4251</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PL 2021, c. 125,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63. TATTOO ARTISTS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TATTOO ARTISTS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63. TATTOO ARTISTS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