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ACCOUNTANTS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BOARD OF ACCOUNTANCY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2</w:t>
        <w:t xml:space="preserve">.  </w:t>
      </w:r>
      <w:r>
        <w:rPr>
          <w:b/>
        </w:rPr>
        <w:t xml:space="preserve">Organization; power and duties;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Examination;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52</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 (RP). </w:t>
      </w:r>
    </w:p>
    <w:p>
      <w:pPr>
        <w:jc w:val="both"/>
        <w:spacing w:before="100" w:after="100"/>
        <w:ind w:start="1080" w:hanging="720"/>
      </w:pPr>
      <w:r>
        <w:rPr>
          <w:b/>
        </w:rPr>
        <w:t>§</w:t>
        <w:t>53</w:t>
        <w:t xml:space="preserve">.  </w:t>
      </w:r>
      <w:r>
        <w:rPr>
          <w:b/>
        </w:rPr>
        <w:t xml:space="preserve">Fee;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54</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56</w:t>
        <w:t xml:space="preserve">.  </w:t>
      </w:r>
      <w:r>
        <w:rPr>
          <w:b/>
        </w:rPr>
        <w:t xml:space="preserve">Filing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57</w:t>
        <w:t xml:space="preserve">.  </w:t>
      </w:r>
      <w:r>
        <w:rPr>
          <w:b/>
        </w:rPr>
        <w:t xml:space="preserve">Advertising; names; practice without certificate;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