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Registration</w:t>
      </w:r>
    </w:p>
    <w:p>
      <w:pPr>
        <w:jc w:val="both"/>
        <w:spacing w:before="100" w:after="100"/>
        <w:ind w:start="360"/>
        <w:ind w:firstLine="360"/>
      </w:pPr>
      <w:r>
        <w:rPr/>
      </w:r>
      <w:r>
        <w:rPr/>
      </w:r>
      <w:r>
        <w:t xml:space="preserve">A partnership formed under the Uniform Partnership Act may be registered as a registered limited liability partnership by signing and filing a certificate of limited liability partnership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Filing of certificate.</w:t>
        <w:t xml:space="preserve"> </w:t>
      </w:r>
      <w:r>
        <w:t xml:space="preserve"> </w:t>
      </w:r>
      <w:r>
        <w:t xml:space="preserve">A partnership formed under the Uniform Partnership Act may be registered as a registered limited liability partnership by signing and filing a certificate of limited liability partnership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on which a partnership becomes a limited liability partnership must be approved by the vote necessary to amend the partnership agreement or, in the case of a partnership agreement that expressly considers obligations to contribute to the partnership, by the vote necessary to amend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§B2 (RPR). PL 2005, c. 543, §B15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