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w:t>
        <w:t xml:space="preserve">.  </w:t>
      </w:r>
      <w:r>
        <w:rPr>
          <w:b/>
        </w:rPr>
        <w:t xml:space="preserve">Statement of dissociation</w:t>
      </w:r>
    </w:p>
    <w:p>
      <w:pPr>
        <w:jc w:val="both"/>
        <w:spacing w:before="100" w:after="0"/>
        <w:ind w:start="360"/>
        <w:ind w:firstLine="360"/>
      </w:pPr>
      <w:r>
        <w:rPr>
          <w:b/>
        </w:rPr>
        <w:t>1</w:t>
        <w:t xml:space="preserve">.  </w:t>
      </w:r>
      <w:r>
        <w:rPr>
          <w:b/>
        </w:rPr>
        <w:t xml:space="preserve">Filing of statement.</w:t>
        <w:t xml:space="preserve"> </w:t>
      </w:r>
      <w:r>
        <w:t xml:space="preserve"> </w:t>
      </w:r>
      <w:r>
        <w:t xml:space="preserve">A dissociated partner or the partnership may file a statement of dissociation stating the name of the partnership and that the partner is dissociated from the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Deemed to have notice.</w:t>
        <w:t xml:space="preserve"> </w:t>
      </w:r>
      <w:r>
        <w:t xml:space="preserve"> </w:t>
      </w:r>
      <w:r>
        <w:t xml:space="preserve">For the purposes of </w:t>
      </w:r>
      <w:r>
        <w:t>section 1072, subsection 1, paragraph C</w:t>
      </w:r>
      <w:r>
        <w:t xml:space="preserve"> and </w:t>
      </w:r>
      <w:r>
        <w:t>section 1073, subsection 2, paragraph C</w:t>
      </w:r>
      <w:r>
        <w:t xml:space="preserve">, a person not a partner is deemed to have notice of the dissociation 90 days after the statement of dissociation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 Statement of dissociation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 Statement of dissociation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§1074. STATEMENT OF DISSOCIATION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