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Eligibility of Mi'kmaq Nation and state funding</w:t>
      </w:r>
    </w:p>
    <w:p>
      <w:pPr>
        <w:jc w:val="both"/>
        <w:spacing w:before="100" w:after="0"/>
        <w:ind w:start="360"/>
        <w:ind w:firstLine="360"/>
      </w:pPr>
      <w:r>
        <w:rPr>
          <w:b/>
        </w:rPr>
        <w:t>1</w:t>
        <w:t xml:space="preserve">.  </w:t>
      </w:r>
      <w:r>
        <w:rPr>
          <w:b/>
        </w:rPr>
        <w:t xml:space="preserve">Eligibility for discretionary funds.</w:t>
        <w:t xml:space="preserve"> </w:t>
      </w:r>
      <w:r>
        <w:t xml:space="preserve"> </w:t>
      </w:r>
      <w:r>
        <w:t xml:space="preserve">The Mi'kmaq Nation is eligible to apply for any federally funded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Eligibility of individuals for state funds.</w:t>
        <w:t xml:space="preserve"> </w:t>
      </w:r>
      <w:r>
        <w:t xml:space="preserve"> </w:t>
      </w:r>
      <w:r>
        <w:t xml:space="preserve">Residents of Mi'kmaq Nation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the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§7210. Eligibility of Mi'kmaq Nation and state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Eligibility of Mi'kmaq Nation and state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§7210. ELIGIBILITY OF MI'KMAQ NATION AND STATE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