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5282</w:t>
        <w:t xml:space="preserve">.  </w:t>
      </w:r>
      <w:r>
        <w:rPr>
          <w:b/>
        </w:rPr>
        <w:t xml:space="preserve">Municipal incentive development zones</w:t>
      </w:r>
    </w:p>
    <w:p>
      <w:pPr>
        <w:jc w:val="both"/>
        <w:spacing w:before="100" w:after="100"/>
        <w:ind w:start="360"/>
        <w:ind w:firstLine="360"/>
      </w:pPr>
      <w:r>
        <w:rPr/>
      </w:r>
      <w:r>
        <w:rPr/>
      </w:r>
      <w:r>
        <w:t xml:space="preserve">Municipal incentive development zones may be established to assist municipalities in encouraging private investment in industrial and commercial projects through the provision of public infrastructure necessary for improvements. Improvements and investments must provide new employment opportunities, improve and broaden the tax base and improve the general economy of the State.</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§5282. Municipal incentive development zones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§5282. Municipal incentive development zones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§5282. MUNICIPAL INCENTIVE DEVELOPMENT ZONES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