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5113</w:t>
        <w:t xml:space="preserve">.  </w:t>
      </w:r>
      <w:r>
        <w:rPr>
          <w:b/>
        </w:rPr>
        <w:t xml:space="preserve">Bonds as legal investments</w:t>
      </w:r>
    </w:p>
    <w:p>
      <w:pPr>
        <w:jc w:val="both"/>
        <w:spacing w:before="100" w:after="100"/>
        <w:ind w:start="360"/>
        <w:ind w:firstLine="360"/>
      </w:pPr>
      <w:r>
        <w:rPr/>
      </w:r>
      <w:r>
        <w:rPr/>
      </w:r>
      <w:r>
        <w:t xml:space="preserve">All public officers, municipal corporations, political subdivisions and public bodies, all banks, trust companies, bankers,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curators, trustees and other fiduciaries may legally invest any sinking funds, money or other funds belonging to them or within their control in any bonds or other obligations issued by the authority under this chapter.  These bonds and other obligations are authorized security for all public deposits.  It is the purpose of this section to authorize any persons, political subdivisions and officers, public or private, to use any funds owned or controlled by them for the purchase of any such bonds or other obligations. Nothing in this section with regard to legal investments may be construed as relieving any person of any duty or of exercising reasonable care in selecting securities.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§5113. Bonds as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§5113. Bonds as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§5113. BONDS AS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