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4856</w:t>
        <w:t xml:space="preserve">.  </w:t>
      </w:r>
      <w:r>
        <w:rPr>
          <w:b/>
        </w:rPr>
        <w:t xml:space="preserve">Accounts within fund</w:t>
      </w:r>
    </w:p>
    <w:p>
      <w:pPr>
        <w:jc w:val="both"/>
        <w:spacing w:before="100" w:after="100"/>
        <w:ind w:start="360"/>
        <w:ind w:firstLine="360"/>
      </w:pPr>
      <w:r>
        <w:rPr/>
      </w:r>
      <w:r>
        <w:rPr/>
      </w:r>
      <w:r>
        <w:t xml:space="preserve">The Maine State Housing Authority may divide the fund into any separate accounts that it finds necessary to accomplish the purposes of this subchapter.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§4856. Accounts within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§4856. Accounts within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§4856. ACCOUNTS WITHIN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