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3782</w:t>
        <w:t xml:space="preserve">.  </w:t>
      </w:r>
      <w:r>
        <w:rPr>
          <w:b/>
        </w:rPr>
        <w:t xml:space="preserve">Continuation of business</w:t>
      </w:r>
    </w:p>
    <w:p>
      <w:pPr>
        <w:jc w:val="both"/>
        <w:spacing w:before="100" w:after="100"/>
        <w:ind w:start="360"/>
        <w:ind w:firstLine="360"/>
      </w:pPr>
      <w:r>
        <w:rPr/>
      </w:r>
      <w:r>
        <w:rPr/>
      </w:r>
      <w:r>
        <w:t xml:space="preserve">After the termination date of the sale and any extension granted under </w:t>
      </w:r>
      <w:r>
        <w:t>section 3781, subsection 1, paragraph B</w:t>
      </w:r>
      <w:r>
        <w:t xml:space="preserve">, the person to whom the license was granted may not continue the business under the same or a different name, at the same location or elsewhere in the same municipality, contrary to the designation of the sale.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§3782. Continuation of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§3782. Continuation of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§3782. CONTINUATION OF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