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3446</w:t>
        <w:t xml:space="preserve">.  </w:t>
      </w:r>
      <w:r>
        <w:rPr>
          <w:b/>
        </w:rPr>
        <w:t xml:space="preserve">Impact fees and connection fees; affordable housing</w:t>
      </w:r>
    </w:p>
    <w:p>
      <w:pPr>
        <w:jc w:val="both"/>
        <w:spacing w:before="100" w:after="100"/>
        <w:ind w:start="360"/>
        <w:ind w:firstLine="360"/>
      </w:pPr>
      <w:r>
        <w:rPr/>
      </w:r>
      <w:r>
        <w:rPr/>
      </w:r>
      <w:r>
        <w:t xml:space="preserve">The municipal officers may reduce the impact fee or connection fee, as those terms are defined in </w:t>
      </w:r>
      <w:r>
        <w:t>section 5061</w:t>
      </w:r>
      <w:r>
        <w:t xml:space="preserve">, for sewer service to newly constructed affordable housing in accordance with </w:t>
      </w:r>
      <w:r>
        <w:t>chapter 202‑A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§3446. Impact fees and connection fees; affordable housing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§3446. Impact fees and connection fees; affordable housing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§3446. IMPACT FEES AND CONNECTION FEES; AFFORDABLE HOUSING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