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2604</w:t>
        <w:t xml:space="preserve">.  </w:t>
      </w:r>
      <w:r>
        <w:rPr>
          <w:b/>
        </w:rPr>
        <w:t xml:space="preserve">Definitions</w:t>
      </w:r>
    </w:p>
    <w:p>
      <w:pPr>
        <w:jc w:val="both"/>
        <w:spacing w:before="100" w:after="100"/>
        <w:ind w:start="360"/>
        <w:ind w:firstLine="360"/>
      </w:pPr>
      <w:r>
        <w:rPr/>
      </w:r>
      <w:r>
        <w:rPr/>
      </w:r>
      <w:r>
        <w:t xml:space="preserve">As used in </w:t>
      </w:r>
      <w:r>
        <w:t>section 2605</w:t>
      </w:r>
      <w:r>
        <w:t xml:space="preserv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Body.</w:t>
        <w:t xml:space="preserve"> </w:t>
      </w:r>
      <w:r>
        <w:t xml:space="preserve"> </w:t>
      </w:r>
      <w:r>
        <w:t xml:space="preserve">"Body" means the governing unit of a municipality or county, and any subunit of government of a municipality or county, including, but not limited to, agencies, authorities, boards, commissions and offices.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Official.</w:t>
        <w:t xml:space="preserve"> </w:t>
      </w:r>
      <w:r>
        <w:t xml:space="preserve"> </w:t>
      </w:r>
      <w:r>
        <w:t xml:space="preserve">"Official" means any elected or appointed member of a municipal or county government or of a quasi-municipal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Quasi-municipal corporation.</w:t>
        <w:t xml:space="preserve"> </w:t>
      </w:r>
      <w:r>
        <w:t xml:space="preserve"> </w:t>
      </w:r>
      <w:r>
        <w:t xml:space="preserve">"Quasi-municipal corporation" means any governmental unit embracing a portion of a municipality, a single municipality or several municipalities which is created by law to deliver public services but which is not a general purpose governmental unit.  This definition includes, but is not limited to, utility districts under the jurisdiction of the Public Utilities Commission and school administrative districts.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§2604.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§2604.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§2604.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